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504"/>
        <w:gridCol w:w="850"/>
        <w:gridCol w:w="4677"/>
      </w:tblGrid>
      <w:tr w:rsidR="007F3233" w:rsidTr="00886BEE">
        <w:tc>
          <w:tcPr>
            <w:tcW w:w="4504" w:type="dxa"/>
          </w:tcPr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"/>
            <w:bookmarkEnd w:id="0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91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7F3233" w:rsidRPr="002005F1" w:rsidRDefault="007F3233" w:rsidP="007F323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7F3233" w:rsidRDefault="007F3233" w:rsidP="007F323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gridSpan w:val="2"/>
          </w:tcPr>
          <w:p w:rsidR="007F3233" w:rsidRDefault="007F3233" w:rsidP="007F323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3233" w:rsidTr="00886BEE">
        <w:trPr>
          <w:trHeight w:val="1024"/>
        </w:trPr>
        <w:tc>
          <w:tcPr>
            <w:tcW w:w="5354" w:type="dxa"/>
            <w:gridSpan w:val="2"/>
            <w:hideMark/>
          </w:tcPr>
          <w:p w:rsidR="007F3233" w:rsidRPr="007F3233" w:rsidRDefault="007F3233" w:rsidP="007F32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отклонение от предельных параметров разрешенного строительства, </w:t>
            </w:r>
          </w:p>
          <w:p w:rsidR="007F3233" w:rsidRPr="007F3233" w:rsidRDefault="007F3233" w:rsidP="007F32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реконструкции объектов капитального строительства»</w:t>
            </w:r>
          </w:p>
          <w:p w:rsidR="007F3233" w:rsidRPr="002005F1" w:rsidRDefault="007F3233" w:rsidP="007F323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7F3233" w:rsidRDefault="007F3233" w:rsidP="007F323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3233" w:rsidRDefault="007F3233" w:rsidP="007F323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F3233" w:rsidRPr="0053264D" w:rsidRDefault="007F3233" w:rsidP="007F323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 w:rsidRPr="0053264D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7F3233" w:rsidRPr="007F3233" w:rsidRDefault="007F3233" w:rsidP="007F32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233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23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F3233" w:rsidRDefault="007F3233" w:rsidP="007F3233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</w:t>
      </w:r>
      <w:proofErr w:type="gramStart"/>
      <w:r w:rsidRPr="007F32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3233" w:rsidRPr="007F3233" w:rsidRDefault="007F3233" w:rsidP="007F323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F32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F3233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7F3233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Pr="007F323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F3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F3233" w:rsidRPr="007F3233" w:rsidRDefault="007F3233" w:rsidP="007F3233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7F3233">
        <w:rPr>
          <w:rFonts w:ascii="Times New Roman" w:hAnsi="Times New Roman" w:cs="Times New Roman"/>
          <w:sz w:val="28"/>
          <w:szCs w:val="28"/>
        </w:rPr>
        <w:t>собой.</w:t>
      </w:r>
    </w:p>
    <w:p w:rsidR="007F3233" w:rsidRDefault="007F3233" w:rsidP="007F3233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3233" w:rsidRDefault="007F3233" w:rsidP="007F323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3233" w:rsidRDefault="007F3233" w:rsidP="007F323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F3233" w:rsidRDefault="007F3233" w:rsidP="007F3233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7F3233" w:rsidRDefault="007F3233" w:rsidP="007F323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F3233" w:rsidRDefault="007F3233" w:rsidP="007F3233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886BEE" w:rsidRDefault="00886BEE" w:rsidP="007F3233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886BEE" w:rsidRDefault="007F3233" w:rsidP="007F3233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  <w:r w:rsidR="00886BE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3233" w:rsidRDefault="007F3233" w:rsidP="007F3233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1B7F08" w:rsidRDefault="001B7F0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области________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 xml:space="preserve">461430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Коммунар, улица Луначарского, дом 55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6E6C7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6E6C7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6E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пятница:  с 08-30  до 17-00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12-30 до 14-00</w:t>
      </w:r>
    </w:p>
    <w:p w:rsidR="007F3233" w:rsidRPr="007C6D27" w:rsidRDefault="007F3233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7F32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F3233"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3233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7F3233"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7F32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3233" w:rsidRPr="007C6D27">
        <w:rPr>
          <w:rFonts w:ascii="Times New Roman" w:hAnsi="Times New Roman" w:cs="Times New Roman"/>
          <w:sz w:val="24"/>
          <w:szCs w:val="24"/>
        </w:rPr>
        <w:t>.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7F32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F32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F32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F3233">
        <w:rPr>
          <w:rFonts w:ascii="Times New Roman" w:hAnsi="Times New Roman" w:cs="Times New Roman"/>
          <w:sz w:val="24"/>
          <w:szCs w:val="24"/>
        </w:rPr>
        <w:t>Сакмаского</w:t>
      </w:r>
      <w:proofErr w:type="spellEnd"/>
      <w:r w:rsidR="007F32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6C018E" w:rsidRDefault="005A4539" w:rsidP="007F3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7F32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F3233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7F323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7F3233">
        <w:rPr>
          <w:rFonts w:ascii="Times New Roman" w:hAnsi="Times New Roman" w:cs="Times New Roman"/>
          <w:sz w:val="24"/>
          <w:szCs w:val="24"/>
        </w:rPr>
        <w:t>Сакмаского</w:t>
      </w:r>
      <w:proofErr w:type="spellEnd"/>
      <w:r w:rsidR="007F32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6C018E">
        <w:rPr>
          <w:lang w:eastAsia="en-US"/>
        </w:rPr>
        <w:t>www.gosuslugi.ru</w:t>
      </w:r>
      <w:proofErr w:type="spellEnd"/>
      <w:r w:rsidR="006C26D2" w:rsidRPr="006C018E">
        <w:rPr>
          <w:lang w:eastAsia="en-US"/>
        </w:rPr>
        <w:t xml:space="preserve">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7F3233">
        <w:t xml:space="preserve">администрацией муниципального образования </w:t>
      </w:r>
      <w:proofErr w:type="spellStart"/>
      <w:r w:rsidR="007F3233">
        <w:t>Краснокоммунарский</w:t>
      </w:r>
      <w:proofErr w:type="spellEnd"/>
      <w:r w:rsidR="007F3233">
        <w:t xml:space="preserve"> поссовет </w:t>
      </w:r>
      <w:proofErr w:type="spellStart"/>
      <w:r w:rsidR="007F3233">
        <w:t>Сакмаского</w:t>
      </w:r>
      <w:proofErr w:type="spellEnd"/>
      <w:r w:rsidR="007F3233">
        <w:t xml:space="preserve"> района Оренбургской области</w:t>
      </w:r>
      <w:r w:rsidR="007F3233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5A4539" w:rsidRPr="00592229" w:rsidRDefault="005A4539" w:rsidP="005922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592229">
        <w:t xml:space="preserve">администрации муниципального образования </w:t>
      </w:r>
      <w:proofErr w:type="spellStart"/>
      <w:r w:rsidR="00592229">
        <w:t>Краснокоммунарский</w:t>
      </w:r>
      <w:proofErr w:type="spellEnd"/>
      <w:r w:rsidR="00592229">
        <w:t xml:space="preserve"> поссовет </w:t>
      </w:r>
      <w:proofErr w:type="spellStart"/>
      <w:r w:rsidR="00592229">
        <w:t>Сакмаского</w:t>
      </w:r>
      <w:proofErr w:type="spellEnd"/>
      <w:r w:rsidR="00592229">
        <w:t xml:space="preserve"> района Оренбургской области</w:t>
      </w:r>
      <w:r w:rsidR="00592229" w:rsidRPr="006C018E">
        <w:t xml:space="preserve"> </w:t>
      </w:r>
      <w:r w:rsidR="00592229">
        <w:t>-</w:t>
      </w:r>
      <w:r w:rsidRPr="006C018E">
        <w:t xml:space="preserve"> органа местного самоуправления.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 заявитель предоставляет либо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886B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</w:t>
      </w:r>
      <w:r w:rsidR="00886BEE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92229" w:rsidRPr="00592229">
        <w:rPr>
          <w:rFonts w:ascii="Times New Roman" w:hAnsi="Times New Roman" w:cs="Times New Roman"/>
          <w:sz w:val="24"/>
          <w:szCs w:val="24"/>
          <w:u w:val="single"/>
        </w:rPr>
        <w:t>е имеется</w:t>
      </w:r>
      <w:r w:rsidR="005A4539" w:rsidRPr="006C01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86BEE">
        <w:rPr>
          <w:rFonts w:ascii="Times New Roman" w:hAnsi="Times New Roman" w:cs="Times New Roman"/>
          <w:sz w:val="24"/>
          <w:szCs w:val="24"/>
        </w:rPr>
        <w:t>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592229">
        <w:t xml:space="preserve">администрацию муниципального образования </w:t>
      </w:r>
      <w:proofErr w:type="spellStart"/>
      <w:r w:rsidR="00592229">
        <w:t>Краснокоммунарский</w:t>
      </w:r>
      <w:proofErr w:type="spellEnd"/>
      <w:r w:rsidR="00592229">
        <w:t xml:space="preserve"> поссовет </w:t>
      </w:r>
      <w:proofErr w:type="spellStart"/>
      <w:r w:rsidR="00592229">
        <w:t>Сакмаского</w:t>
      </w:r>
      <w:proofErr w:type="spellEnd"/>
      <w:r w:rsidR="00592229">
        <w:t xml:space="preserve"> района Оренбургской области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592229">
        <w:t xml:space="preserve">администрацией муниципального образования </w:t>
      </w:r>
      <w:proofErr w:type="spellStart"/>
      <w:r w:rsidR="00592229">
        <w:t>Краснокоммунарский</w:t>
      </w:r>
      <w:proofErr w:type="spellEnd"/>
      <w:r w:rsidR="00592229">
        <w:t xml:space="preserve"> поссовет </w:t>
      </w:r>
      <w:proofErr w:type="spellStart"/>
      <w:r w:rsidR="00592229">
        <w:t>Сакмаского</w:t>
      </w:r>
      <w:proofErr w:type="spellEnd"/>
      <w:r w:rsidR="00592229">
        <w:t xml:space="preserve"> района Оренбургской области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lastRenderedPageBreak/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</w:t>
      </w:r>
      <w:proofErr w:type="gramStart"/>
      <w:r w:rsidRPr="00590D3B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1B7F08">
        <w:t xml:space="preserve">администрации муниципального образования </w:t>
      </w:r>
      <w:proofErr w:type="spellStart"/>
      <w:r w:rsidR="001B7F08">
        <w:t>Краснокоммунарский</w:t>
      </w:r>
      <w:proofErr w:type="spellEnd"/>
      <w:r w:rsidR="001B7F08">
        <w:t xml:space="preserve"> поссовет </w:t>
      </w:r>
      <w:proofErr w:type="spellStart"/>
      <w:r w:rsidR="001B7F08">
        <w:lastRenderedPageBreak/>
        <w:t>Сакмаского</w:t>
      </w:r>
      <w:proofErr w:type="spellEnd"/>
      <w:r w:rsidR="001B7F08">
        <w:t xml:space="preserve"> района Оренбургской области</w:t>
      </w:r>
      <w:r w:rsidR="001B7F08" w:rsidRPr="00590D3B">
        <w:rPr>
          <w:lang w:eastAsia="en-US"/>
        </w:rPr>
        <w:t xml:space="preserve"> </w:t>
      </w:r>
      <w:r w:rsidRPr="00590D3B">
        <w:rPr>
          <w:lang w:eastAsia="en-US"/>
        </w:rPr>
        <w:t>и его должностных лиц, муниципальных служащих органа местного самоуправления</w:t>
      </w:r>
      <w:r w:rsidR="001B7F08" w:rsidRPr="001B7F08">
        <w:t xml:space="preserve"> </w:t>
      </w:r>
      <w:r w:rsidR="001B7F08">
        <w:t xml:space="preserve">администрации муниципального образования </w:t>
      </w:r>
      <w:proofErr w:type="spellStart"/>
      <w:r w:rsidR="001B7F08">
        <w:t>Краснокоммунарский</w:t>
      </w:r>
      <w:proofErr w:type="spellEnd"/>
      <w:r w:rsidR="001B7F08">
        <w:t xml:space="preserve"> поссовет </w:t>
      </w:r>
      <w:proofErr w:type="spellStart"/>
      <w:r w:rsidR="001B7F08">
        <w:t>Сакмаского</w:t>
      </w:r>
      <w:proofErr w:type="spellEnd"/>
      <w:r w:rsidR="001B7F08">
        <w:t xml:space="preserve"> района Оренбургской области</w:t>
      </w:r>
      <w:r w:rsidR="001B7F08">
        <w:rPr>
          <w:lang w:eastAsia="en-US"/>
        </w:rPr>
        <w:t xml:space="preserve">, </w:t>
      </w:r>
      <w:r w:rsidRPr="00590D3B">
        <w:rPr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590D3B">
        <w:rPr>
          <w:lang w:eastAsia="en-US"/>
        </w:rPr>
        <w:t xml:space="preserve">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1B7F0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 w:rsidR="001B7F08">
        <w:rPr>
          <w:lang w:eastAsia="en-US"/>
        </w:rPr>
        <w:t xml:space="preserve">органом местного самоуправления </w:t>
      </w:r>
      <w:r w:rsidR="001B7F08">
        <w:t xml:space="preserve">администрацией муниципального образования </w:t>
      </w:r>
      <w:proofErr w:type="spellStart"/>
      <w:r w:rsidR="001B7F08">
        <w:t>Краснокоммунарский</w:t>
      </w:r>
      <w:proofErr w:type="spellEnd"/>
      <w:r w:rsidR="001B7F08">
        <w:t xml:space="preserve"> поссовет </w:t>
      </w:r>
      <w:proofErr w:type="spellStart"/>
      <w:r w:rsidR="001B7F08">
        <w:t>Сакмаского</w:t>
      </w:r>
      <w:proofErr w:type="spellEnd"/>
      <w:r w:rsidR="001B7F08">
        <w:t xml:space="preserve"> района Оренбургской области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 xml:space="preserve">частью 1.1 статьи </w:t>
        </w:r>
        <w:r w:rsidRPr="00590D3B">
          <w:lastRenderedPageBreak/>
          <w:t>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5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</w:t>
      </w:r>
      <w:r w:rsidRPr="00590D3B">
        <w:rPr>
          <w:bCs/>
          <w:lang w:eastAsia="en-US"/>
        </w:rPr>
        <w:lastRenderedPageBreak/>
        <w:t xml:space="preserve">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886BEE"/>
    <w:p w:rsidR="005A4539" w:rsidRPr="006C018E" w:rsidRDefault="005A4539" w:rsidP="005A4539">
      <w:pPr>
        <w:ind w:left="7371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lastRenderedPageBreak/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lastRenderedPageBreak/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556"/>
        <w:gridCol w:w="416"/>
        <w:gridCol w:w="2482"/>
        <w:gridCol w:w="552"/>
        <w:gridCol w:w="3133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886BEE" w:rsidRDefault="00886BEE" w:rsidP="005A4539">
      <w:pPr>
        <w:ind w:left="7371"/>
        <w:rPr>
          <w:sz w:val="28"/>
          <w:szCs w:val="28"/>
        </w:rPr>
      </w:pPr>
    </w:p>
    <w:p w:rsidR="00886BEE" w:rsidRDefault="00886BEE" w:rsidP="005A4539">
      <w:pPr>
        <w:ind w:left="7371"/>
        <w:rPr>
          <w:sz w:val="28"/>
          <w:szCs w:val="28"/>
        </w:rPr>
      </w:pPr>
    </w:p>
    <w:p w:rsidR="00886BEE" w:rsidRDefault="00886BEE" w:rsidP="005A4539">
      <w:pPr>
        <w:ind w:left="7371"/>
        <w:rPr>
          <w:sz w:val="28"/>
          <w:szCs w:val="28"/>
        </w:rPr>
      </w:pPr>
    </w:p>
    <w:p w:rsidR="00886BEE" w:rsidRDefault="00886BEE" w:rsidP="005A4539">
      <w:pPr>
        <w:ind w:left="7371"/>
        <w:rPr>
          <w:sz w:val="28"/>
          <w:szCs w:val="28"/>
        </w:rPr>
      </w:pPr>
    </w:p>
    <w:p w:rsidR="00886BEE" w:rsidRPr="006C018E" w:rsidRDefault="00886BEE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1B7F08" w:rsidRDefault="001B7F08" w:rsidP="001B7F08">
      <w:pPr>
        <w:rPr>
          <w:sz w:val="28"/>
          <w:szCs w:val="28"/>
        </w:rPr>
      </w:pPr>
    </w:p>
    <w:p w:rsidR="00886BEE" w:rsidRPr="006C018E" w:rsidRDefault="00886BEE" w:rsidP="001B7F08">
      <w:pPr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415"/>
        <w:gridCol w:w="1116"/>
        <w:gridCol w:w="707"/>
        <w:gridCol w:w="965"/>
        <w:gridCol w:w="416"/>
        <w:gridCol w:w="3443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896C4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1B7F08" w:rsidRPr="00650801" w:rsidRDefault="001B7F08" w:rsidP="001B7F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E50F58" w:rsidRPr="00650801" w:rsidSect="00886BEE">
      <w:pgSz w:w="12240" w:h="15840" w:code="1"/>
      <w:pgMar w:top="709" w:right="616" w:bottom="851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37" w:rsidRDefault="00743B37">
      <w:r>
        <w:separator/>
      </w:r>
    </w:p>
  </w:endnote>
  <w:endnote w:type="continuationSeparator" w:id="0">
    <w:p w:rsidR="00743B37" w:rsidRDefault="0074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37" w:rsidRDefault="00743B37">
      <w:r>
        <w:separator/>
      </w:r>
    </w:p>
  </w:footnote>
  <w:footnote w:type="continuationSeparator" w:id="0">
    <w:p w:rsidR="00743B37" w:rsidRDefault="00743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B7F08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92229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43B37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3233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6BEE"/>
    <w:rsid w:val="008870CF"/>
    <w:rsid w:val="00891100"/>
    <w:rsid w:val="008957E0"/>
    <w:rsid w:val="00896C49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1"/>
    <w:qFormat/>
    <w:rsid w:val="007F32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D580-59F1-448C-91A1-812AD8A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10010</Words>
  <Characters>57058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11</cp:revision>
  <cp:lastPrinted>2018-08-30T11:50:00Z</cp:lastPrinted>
  <dcterms:created xsi:type="dcterms:W3CDTF">2017-04-13T04:36:00Z</dcterms:created>
  <dcterms:modified xsi:type="dcterms:W3CDTF">2018-08-30T11:52:00Z</dcterms:modified>
</cp:coreProperties>
</file>